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A37" w:rsidRPr="008E0A37" w:rsidRDefault="008E0A37" w:rsidP="008E0A37">
      <w:pPr>
        <w:spacing w:line="360" w:lineRule="auto"/>
        <w:jc w:val="right"/>
        <w:rPr>
          <w:rFonts w:ascii="David" w:hAnsi="David" w:cs="David"/>
          <w:sz w:val="24"/>
          <w:szCs w:val="24"/>
          <w:rtl/>
        </w:rPr>
      </w:pPr>
      <w:r w:rsidRPr="008E0A37">
        <w:rPr>
          <w:rFonts w:ascii="David" w:hAnsi="David" w:cs="David" w:hint="eastAsia"/>
          <w:sz w:val="24"/>
          <w:szCs w:val="24"/>
          <w:rtl/>
        </w:rPr>
        <w:t>‏</w:t>
      </w:r>
      <w:r w:rsidRPr="008E0A37">
        <w:rPr>
          <w:rFonts w:ascii="David" w:hAnsi="David" w:cs="David"/>
          <w:sz w:val="24"/>
          <w:szCs w:val="24"/>
          <w:rtl/>
        </w:rPr>
        <w:t>08 נובמבר 2023</w:t>
      </w:r>
    </w:p>
    <w:p w:rsidR="009B7AFF" w:rsidRDefault="008E0A37" w:rsidP="003D6131">
      <w:pPr>
        <w:spacing w:after="0" w:line="360" w:lineRule="auto"/>
        <w:jc w:val="center"/>
        <w:rPr>
          <w:rFonts w:ascii="FrankRuehl" w:hAnsi="FrankRuehl" w:cs="FrankRuehl"/>
          <w:b/>
          <w:bCs/>
          <w:color w:val="002060"/>
          <w:sz w:val="28"/>
          <w:szCs w:val="28"/>
          <w:u w:val="single"/>
          <w:rtl/>
        </w:rPr>
      </w:pPr>
      <w:r w:rsidRPr="008E0A37">
        <w:rPr>
          <w:rFonts w:ascii="FrankRuehl" w:hAnsi="FrankRuehl" w:cs="FrankRuehl"/>
          <w:b/>
          <w:bCs/>
          <w:color w:val="002060"/>
          <w:sz w:val="28"/>
          <w:szCs w:val="28"/>
          <w:u w:val="single"/>
          <w:rtl/>
        </w:rPr>
        <w:t xml:space="preserve">תקציר </w:t>
      </w:r>
      <w:r w:rsidR="009B7AFF" w:rsidRPr="008E0A37">
        <w:rPr>
          <w:rFonts w:ascii="FrankRuehl" w:hAnsi="FrankRuehl" w:cs="FrankRuehl"/>
          <w:b/>
          <w:bCs/>
          <w:color w:val="002060"/>
          <w:sz w:val="28"/>
          <w:szCs w:val="28"/>
          <w:u w:val="single"/>
          <w:rtl/>
        </w:rPr>
        <w:t>החלטה</w:t>
      </w:r>
      <w:r w:rsidR="003D6131">
        <w:rPr>
          <w:rFonts w:ascii="FrankRuehl" w:hAnsi="FrankRuehl" w:cs="FrankRuehl" w:hint="cs"/>
          <w:b/>
          <w:bCs/>
          <w:color w:val="002060"/>
          <w:sz w:val="28"/>
          <w:szCs w:val="28"/>
          <w:u w:val="single"/>
          <w:rtl/>
        </w:rPr>
        <w:t xml:space="preserve"> </w:t>
      </w:r>
      <w:proofErr w:type="spellStart"/>
      <w:r w:rsidR="003D6131">
        <w:rPr>
          <w:rFonts w:ascii="FrankRuehl" w:hAnsi="FrankRuehl" w:cs="FrankRuehl" w:hint="cs"/>
          <w:b/>
          <w:bCs/>
          <w:color w:val="002060"/>
          <w:sz w:val="28"/>
          <w:szCs w:val="28"/>
          <w:u w:val="single"/>
          <w:rtl/>
        </w:rPr>
        <w:t>עמ"י</w:t>
      </w:r>
      <w:proofErr w:type="spellEnd"/>
      <w:r>
        <w:rPr>
          <w:rFonts w:ascii="FrankRuehl" w:hAnsi="FrankRuehl" w:cs="FrankRuehl" w:hint="cs"/>
          <w:b/>
          <w:bCs/>
          <w:color w:val="002060"/>
          <w:sz w:val="28"/>
          <w:szCs w:val="28"/>
          <w:u w:val="single"/>
          <w:rtl/>
        </w:rPr>
        <w:t xml:space="preserve"> 12271-11-23</w:t>
      </w:r>
    </w:p>
    <w:p w:rsidR="008E0A37" w:rsidRDefault="008E0A37" w:rsidP="003D6131">
      <w:pPr>
        <w:spacing w:after="0" w:line="360" w:lineRule="auto"/>
        <w:jc w:val="center"/>
        <w:rPr>
          <w:rFonts w:ascii="FrankRuehl" w:hAnsi="FrankRuehl" w:cs="FrankRuehl"/>
          <w:b/>
          <w:bCs/>
          <w:color w:val="002060"/>
          <w:sz w:val="28"/>
          <w:szCs w:val="28"/>
          <w:u w:val="single"/>
          <w:rtl/>
        </w:rPr>
      </w:pPr>
      <w:r>
        <w:rPr>
          <w:rFonts w:ascii="FrankRuehl" w:hAnsi="FrankRuehl" w:cs="FrankRuehl" w:hint="cs"/>
          <w:b/>
          <w:bCs/>
          <w:color w:val="002060"/>
          <w:sz w:val="28"/>
          <w:szCs w:val="28"/>
          <w:u w:val="single"/>
          <w:rtl/>
        </w:rPr>
        <w:t>ביהמ"ש המחוזי בחיפה, השופט אבי לוי</w:t>
      </w:r>
    </w:p>
    <w:p w:rsidR="003D6131" w:rsidRPr="008E0A37" w:rsidRDefault="003D6131" w:rsidP="003D6131">
      <w:pPr>
        <w:spacing w:after="0" w:line="360" w:lineRule="auto"/>
        <w:jc w:val="center"/>
        <w:rPr>
          <w:rFonts w:ascii="FrankRuehl" w:hAnsi="FrankRuehl" w:cs="FrankRuehl"/>
          <w:b/>
          <w:bCs/>
          <w:color w:val="002060"/>
          <w:sz w:val="28"/>
          <w:szCs w:val="28"/>
          <w:u w:val="single"/>
          <w:rtl/>
        </w:rPr>
      </w:pPr>
    </w:p>
    <w:p w:rsidR="009B7AFF" w:rsidRDefault="009B7AFF" w:rsidP="003D6131">
      <w:pPr>
        <w:spacing w:after="0" w:line="360" w:lineRule="auto"/>
        <w:jc w:val="both"/>
        <w:rPr>
          <w:rFonts w:ascii="David" w:hAnsi="David" w:cs="David"/>
          <w:sz w:val="24"/>
          <w:szCs w:val="24"/>
          <w:rtl/>
        </w:rPr>
      </w:pPr>
      <w:r w:rsidRPr="009B7AFF">
        <w:rPr>
          <w:rFonts w:ascii="David" w:hAnsi="David" w:cs="David" w:hint="cs"/>
          <w:sz w:val="24"/>
          <w:szCs w:val="24"/>
          <w:rtl/>
        </w:rPr>
        <w:t xml:space="preserve">אתמול דן </w:t>
      </w:r>
      <w:r>
        <w:rPr>
          <w:rFonts w:ascii="David" w:hAnsi="David" w:cs="David" w:hint="cs"/>
          <w:sz w:val="24"/>
          <w:szCs w:val="24"/>
          <w:rtl/>
        </w:rPr>
        <w:t xml:space="preserve">בית המשפט המחוזי בחיפה בערר התביעה, נגד </w:t>
      </w:r>
      <w:r w:rsidRPr="00D27C7B">
        <w:rPr>
          <w:rFonts w:ascii="David" w:hAnsi="David" w:cs="David" w:hint="cs"/>
          <w:b/>
          <w:bCs/>
          <w:sz w:val="24"/>
          <w:szCs w:val="24"/>
          <w:rtl/>
        </w:rPr>
        <w:t xml:space="preserve">היענות </w:t>
      </w:r>
      <w:r>
        <w:rPr>
          <w:rFonts w:ascii="David" w:hAnsi="David" w:cs="David" w:hint="cs"/>
          <w:b/>
          <w:bCs/>
          <w:sz w:val="24"/>
          <w:szCs w:val="24"/>
          <w:rtl/>
        </w:rPr>
        <w:t xml:space="preserve">בית משפט השלום בעכו </w:t>
      </w:r>
      <w:r w:rsidRPr="00D27C7B">
        <w:rPr>
          <w:rFonts w:ascii="David" w:hAnsi="David" w:cs="David" w:hint="cs"/>
          <w:b/>
          <w:bCs/>
          <w:sz w:val="24"/>
          <w:szCs w:val="24"/>
          <w:rtl/>
        </w:rPr>
        <w:t>לבקשת ההגנה למנוע את פרסום שמו המלא של המשיב</w:t>
      </w:r>
      <w:r>
        <w:rPr>
          <w:rFonts w:ascii="David" w:hAnsi="David" w:cs="David" w:hint="cs"/>
          <w:sz w:val="24"/>
          <w:szCs w:val="24"/>
          <w:rtl/>
        </w:rPr>
        <w:t>. הערכאה הראשונה הורתה על המשך החזקת המשיב במעצר משהוא</w:t>
      </w:r>
      <w:r w:rsidRPr="00D27C7B">
        <w:rPr>
          <w:rFonts w:ascii="David" w:hAnsi="David" w:cs="David" w:hint="cs"/>
          <w:b/>
          <w:bCs/>
          <w:sz w:val="24"/>
          <w:szCs w:val="24"/>
          <w:rtl/>
        </w:rPr>
        <w:t xml:space="preserve"> נחשד בעבירות של פרסום דברי שבח ואהדה לרבות תמיכה והזדהות עם ארגון טרור</w:t>
      </w:r>
      <w:r>
        <w:rPr>
          <w:rFonts w:ascii="David" w:hAnsi="David" w:cs="David" w:hint="cs"/>
          <w:sz w:val="24"/>
          <w:szCs w:val="24"/>
          <w:rtl/>
        </w:rPr>
        <w:t>.</w:t>
      </w:r>
    </w:p>
    <w:p w:rsidR="003D6131" w:rsidRDefault="009B7AFF" w:rsidP="003D6131">
      <w:pPr>
        <w:spacing w:after="0" w:line="360" w:lineRule="auto"/>
        <w:jc w:val="both"/>
        <w:rPr>
          <w:rFonts w:ascii="David" w:hAnsi="David" w:cs="David"/>
          <w:sz w:val="24"/>
          <w:szCs w:val="24"/>
          <w:rtl/>
        </w:rPr>
      </w:pPr>
      <w:r>
        <w:rPr>
          <w:rFonts w:ascii="David" w:hAnsi="David" w:cs="David" w:hint="cs"/>
          <w:sz w:val="24"/>
          <w:szCs w:val="24"/>
          <w:rtl/>
        </w:rPr>
        <w:t xml:space="preserve">בפתח ההחלטה צוין: אתמול, 7.11.23, ציינה מדינת ישראל 30 ימים ל"שבת השחורה", עת חלאות </w:t>
      </w:r>
      <w:r>
        <w:rPr>
          <w:rFonts w:ascii="David" w:hAnsi="David" w:cs="David"/>
          <w:sz w:val="24"/>
          <w:szCs w:val="24"/>
          <w:rtl/>
        </w:rPr>
        <w:t>–</w:t>
      </w:r>
      <w:r>
        <w:rPr>
          <w:rFonts w:ascii="David" w:hAnsi="David" w:cs="David" w:hint="cs"/>
          <w:sz w:val="24"/>
          <w:szCs w:val="24"/>
          <w:rtl/>
        </w:rPr>
        <w:t xml:space="preserve"> אדם, בני </w:t>
      </w:r>
      <w:r>
        <w:rPr>
          <w:rFonts w:ascii="David" w:hAnsi="David" w:cs="David"/>
          <w:sz w:val="24"/>
          <w:szCs w:val="24"/>
          <w:rtl/>
        </w:rPr>
        <w:t>–</w:t>
      </w:r>
      <w:r>
        <w:rPr>
          <w:rFonts w:ascii="David" w:hAnsi="David" w:cs="David" w:hint="cs"/>
          <w:sz w:val="24"/>
          <w:szCs w:val="24"/>
          <w:rtl/>
        </w:rPr>
        <w:t xml:space="preserve"> עוולה  חסרי צלם אנוש פשטו על יישובי עוטף ישראל (הסמוכים לרצועת עזה) והישובים אופקים ושדרות וביצעו טבח חסר </w:t>
      </w:r>
      <w:r>
        <w:rPr>
          <w:rFonts w:ascii="David" w:hAnsi="David" w:cs="David"/>
          <w:sz w:val="24"/>
          <w:szCs w:val="24"/>
          <w:rtl/>
        </w:rPr>
        <w:t>–</w:t>
      </w:r>
      <w:r>
        <w:rPr>
          <w:rFonts w:ascii="David" w:hAnsi="David" w:cs="David" w:hint="cs"/>
          <w:sz w:val="24"/>
          <w:szCs w:val="24"/>
          <w:rtl/>
        </w:rPr>
        <w:t xml:space="preserve"> אבחנה באזרחים תמימים </w:t>
      </w:r>
      <w:r>
        <w:rPr>
          <w:rFonts w:ascii="David" w:hAnsi="David" w:cs="David"/>
          <w:sz w:val="24"/>
          <w:szCs w:val="24"/>
          <w:rtl/>
        </w:rPr>
        <w:t>–</w:t>
      </w:r>
      <w:r>
        <w:rPr>
          <w:rFonts w:ascii="David" w:hAnsi="David" w:cs="David" w:hint="cs"/>
          <w:sz w:val="24"/>
          <w:szCs w:val="24"/>
          <w:rtl/>
        </w:rPr>
        <w:t xml:space="preserve"> תינוקות וילדים, נכים ומוגבלים, מבוגרים ומבוגרות, גברים ונשים. מעשיהם השטניים כללו עינויים של קורבנותיהם התמימים, ביצוע מעשי הטלת מום, עריפת ראשים, אינוס של נשים, שריפת בתים על תושביהם, חניקה ועוד שורה ארוכה של מעשי המתה שטניים וזדוניים. אחרים נחטפו באכזריות על ידיהם. בעקבות מעשים אלה, נאלצה מדינת ישראל לפתוח במערכה, שנועדה לחסל את ארגון המרצחים חמאס, ארגון שעל שורותיו נמנו מבצעי מעשי הזוועה הנ"ל. אותה מלחמה עודנה </w:t>
      </w:r>
      <w:r w:rsidRPr="00A744C5">
        <w:rPr>
          <w:rFonts w:ascii="David" w:hAnsi="David" w:cs="David" w:hint="cs"/>
          <w:sz w:val="24"/>
          <w:szCs w:val="24"/>
          <w:rtl/>
        </w:rPr>
        <w:t>ניטשת</w:t>
      </w:r>
      <w:r>
        <w:rPr>
          <w:rFonts w:ascii="David" w:hAnsi="David" w:cs="David" w:hint="cs"/>
          <w:sz w:val="24"/>
          <w:szCs w:val="24"/>
          <w:rtl/>
        </w:rPr>
        <w:t xml:space="preserve"> במלוא עוזה </w:t>
      </w:r>
      <w:r w:rsidR="008E0A37">
        <w:rPr>
          <w:rFonts w:ascii="David" w:hAnsi="David" w:cs="David" w:hint="cs"/>
          <w:sz w:val="24"/>
          <w:szCs w:val="24"/>
          <w:rtl/>
        </w:rPr>
        <w:t>ב</w:t>
      </w:r>
      <w:r>
        <w:rPr>
          <w:rFonts w:ascii="David" w:hAnsi="David" w:cs="David" w:hint="cs"/>
          <w:sz w:val="24"/>
          <w:szCs w:val="24"/>
          <w:rtl/>
        </w:rPr>
        <w:t>שעת כתיבת שורות אלו</w:t>
      </w:r>
      <w:r w:rsidR="008E0A37">
        <w:rPr>
          <w:rFonts w:ascii="David" w:hAnsi="David" w:cs="David" w:hint="cs"/>
          <w:sz w:val="24"/>
          <w:szCs w:val="24"/>
          <w:rtl/>
        </w:rPr>
        <w:t>.</w:t>
      </w:r>
      <w:r>
        <w:rPr>
          <w:rFonts w:ascii="David" w:hAnsi="David" w:cs="David" w:hint="cs"/>
          <w:sz w:val="24"/>
          <w:szCs w:val="24"/>
          <w:rtl/>
        </w:rPr>
        <w:t xml:space="preserve"> מעשי הטבח שבוצעו על ידי אותו ארגון הביאו למותם של יותר מ- 1,400, לפציעתם של אלפים נוספים ובעצם ימים אלה מוחזקים עדיין 240 בני אדם: גברים, נשים, ילדים ותינוקות בידי ארגון המרצחים הנ"ל כאשר כוחותינו עמלים על השבתם. </w:t>
      </w:r>
    </w:p>
    <w:p w:rsidR="009B7AFF" w:rsidRDefault="009B7AFF" w:rsidP="003D6131">
      <w:pPr>
        <w:spacing w:after="0" w:line="360" w:lineRule="auto"/>
        <w:jc w:val="both"/>
        <w:rPr>
          <w:rFonts w:ascii="David" w:hAnsi="David" w:cs="David"/>
          <w:sz w:val="24"/>
          <w:szCs w:val="24"/>
          <w:rtl/>
        </w:rPr>
      </w:pPr>
      <w:r>
        <w:rPr>
          <w:rFonts w:ascii="David" w:hAnsi="David" w:cs="David" w:hint="cs"/>
          <w:sz w:val="24"/>
          <w:szCs w:val="24"/>
          <w:rtl/>
        </w:rPr>
        <w:t xml:space="preserve">שורת האירועים הללו היא הרקע לתיק החקירה המונח לפניי ואשר אליו מתייחס הערר, אשר בעניינו דן אני כעת. </w:t>
      </w:r>
    </w:p>
    <w:p w:rsidR="003D6131" w:rsidRDefault="003D6131" w:rsidP="003D6131">
      <w:pPr>
        <w:spacing w:after="0" w:line="360" w:lineRule="auto"/>
        <w:jc w:val="both"/>
        <w:rPr>
          <w:rFonts w:ascii="David" w:hAnsi="David" w:cs="David"/>
          <w:sz w:val="24"/>
          <w:szCs w:val="24"/>
          <w:rtl/>
        </w:rPr>
      </w:pPr>
    </w:p>
    <w:p w:rsidR="009B7AFF" w:rsidRDefault="009B7AFF" w:rsidP="003D6131">
      <w:pPr>
        <w:spacing w:after="0" w:line="360" w:lineRule="auto"/>
        <w:jc w:val="both"/>
        <w:rPr>
          <w:rFonts w:ascii="David" w:hAnsi="David" w:cs="David"/>
          <w:sz w:val="24"/>
          <w:szCs w:val="24"/>
          <w:rtl/>
        </w:rPr>
      </w:pPr>
      <w:r>
        <w:rPr>
          <w:rFonts w:ascii="David" w:hAnsi="David" w:cs="David" w:hint="cs"/>
          <w:sz w:val="24"/>
          <w:szCs w:val="24"/>
          <w:rtl/>
        </w:rPr>
        <w:t>שני פרסומים ניצבו בבסיס החקירה: האחד עניינו בכך, ש</w:t>
      </w:r>
      <w:r w:rsidRPr="00D27C7B">
        <w:rPr>
          <w:rFonts w:ascii="David" w:hAnsi="David" w:cs="David" w:hint="cs"/>
          <w:b/>
          <w:bCs/>
          <w:sz w:val="24"/>
          <w:szCs w:val="24"/>
          <w:rtl/>
        </w:rPr>
        <w:t>אין פתרון מלבד השמדת הכובש</w:t>
      </w:r>
      <w:r>
        <w:rPr>
          <w:rFonts w:ascii="David" w:hAnsi="David" w:cs="David" w:hint="cs"/>
          <w:sz w:val="24"/>
          <w:szCs w:val="24"/>
          <w:rtl/>
        </w:rPr>
        <w:t>; האחר עוסק ב</w:t>
      </w:r>
      <w:r w:rsidRPr="00D27C7B">
        <w:rPr>
          <w:rFonts w:ascii="David" w:hAnsi="David" w:cs="David" w:hint="cs"/>
          <w:b/>
          <w:bCs/>
          <w:sz w:val="24"/>
          <w:szCs w:val="24"/>
          <w:rtl/>
        </w:rPr>
        <w:t>"מכה אלוהית" שהנחיתה תנועת ההתנגדות האסלאמית</w:t>
      </w:r>
      <w:r>
        <w:rPr>
          <w:rFonts w:ascii="David" w:hAnsi="David" w:cs="David" w:hint="cs"/>
          <w:b/>
          <w:bCs/>
          <w:sz w:val="24"/>
          <w:szCs w:val="24"/>
          <w:rtl/>
        </w:rPr>
        <w:t>, מכה,</w:t>
      </w:r>
      <w:r>
        <w:rPr>
          <w:rFonts w:ascii="David" w:hAnsi="David" w:cs="David" w:hint="cs"/>
          <w:sz w:val="24"/>
          <w:szCs w:val="24"/>
          <w:rtl/>
        </w:rPr>
        <w:t xml:space="preserve"> ששברה את גישת העליונות הישראלית ואת ההפסדים הערבים אל מול הכיבוש הישראלי ובתגובה הישראלית בתמיכת ארה"ב אשר אף מספקת אור ירוק לדיכוי וההרג הנמשך 75 שנה, בין אם של עזה ובין אם של העם הפלסטיני בכלל או מדינות הערב השונות "הם סימן לסיום של משטר...". צוין עוד בפוסט זה שהופלו 120 אלף טונות של רקטות בעזה ללא תוצאות ומנגד גדודי </w:t>
      </w:r>
      <w:proofErr w:type="spellStart"/>
      <w:r>
        <w:rPr>
          <w:rFonts w:ascii="David" w:hAnsi="David" w:cs="David" w:hint="cs"/>
          <w:sz w:val="24"/>
          <w:szCs w:val="24"/>
          <w:rtl/>
        </w:rPr>
        <w:t>אלקסאם</w:t>
      </w:r>
      <w:proofErr w:type="spellEnd"/>
      <w:r>
        <w:rPr>
          <w:rFonts w:ascii="David" w:hAnsi="David" w:cs="David" w:hint="cs"/>
          <w:sz w:val="24"/>
          <w:szCs w:val="24"/>
          <w:rtl/>
        </w:rPr>
        <w:t xml:space="preserve"> הודיעו כי אם המצב הזה יימשך, בני הערובה הישראלים יוצאו להורג בזה אחר זה בהוצאה להורג שתשודר בשידור חי. </w:t>
      </w:r>
    </w:p>
    <w:p w:rsidR="003D6131" w:rsidRDefault="009B7AFF" w:rsidP="003D6131">
      <w:pPr>
        <w:spacing w:after="0" w:line="360" w:lineRule="auto"/>
        <w:jc w:val="both"/>
        <w:rPr>
          <w:rFonts w:ascii="David" w:hAnsi="David" w:cs="David"/>
          <w:b/>
          <w:bCs/>
          <w:sz w:val="24"/>
          <w:szCs w:val="24"/>
          <w:rtl/>
        </w:rPr>
      </w:pPr>
      <w:r>
        <w:rPr>
          <w:rFonts w:cs="David" w:hint="cs"/>
          <w:sz w:val="24"/>
          <w:szCs w:val="24"/>
          <w:rtl/>
        </w:rPr>
        <w:t xml:space="preserve">בית המשפט קבע </w:t>
      </w:r>
      <w:r w:rsidRPr="009B7AFF">
        <w:rPr>
          <w:rFonts w:ascii="David" w:hAnsi="David" w:cs="David" w:hint="cs"/>
          <w:sz w:val="24"/>
          <w:szCs w:val="24"/>
          <w:rtl/>
        </w:rPr>
        <w:t>ש</w:t>
      </w:r>
      <w:r w:rsidRPr="00DD59B5">
        <w:rPr>
          <w:rFonts w:ascii="David" w:hAnsi="David" w:cs="David" w:hint="cs"/>
          <w:sz w:val="24"/>
          <w:szCs w:val="24"/>
          <w:rtl/>
        </w:rPr>
        <w:t>העבירות</w:t>
      </w:r>
      <w:r>
        <w:rPr>
          <w:rFonts w:ascii="David" w:hAnsi="David" w:cs="David" w:hint="cs"/>
          <w:sz w:val="24"/>
          <w:szCs w:val="24"/>
          <w:rtl/>
        </w:rPr>
        <w:t xml:space="preserve"> שבעשייתן נחשד המשיב כאן הן עשיית מעשה של הזדהות עם ארגון טרור לרבות בפרסום של דברי שבח, תמיכה או אהדה בפומבי במטרה להזדהות עם הארגון. </w:t>
      </w:r>
    </w:p>
    <w:p w:rsidR="003D6131" w:rsidRDefault="003D6131" w:rsidP="003D6131">
      <w:pPr>
        <w:spacing w:after="0" w:line="360" w:lineRule="auto"/>
        <w:jc w:val="both"/>
        <w:rPr>
          <w:rFonts w:ascii="David" w:hAnsi="David" w:cs="David"/>
          <w:b/>
          <w:bCs/>
          <w:sz w:val="24"/>
          <w:szCs w:val="24"/>
          <w:rtl/>
        </w:rPr>
      </w:pPr>
      <w:bookmarkStart w:id="0" w:name="_GoBack"/>
      <w:bookmarkEnd w:id="0"/>
    </w:p>
    <w:p w:rsidR="003D6131" w:rsidRDefault="009B7AFF" w:rsidP="003D6131">
      <w:pPr>
        <w:spacing w:after="0" w:line="360" w:lineRule="auto"/>
        <w:jc w:val="both"/>
        <w:rPr>
          <w:rFonts w:ascii="David" w:hAnsi="David" w:cs="David"/>
          <w:sz w:val="24"/>
          <w:szCs w:val="24"/>
          <w:rtl/>
        </w:rPr>
      </w:pPr>
      <w:r w:rsidRPr="00D27C7B">
        <w:rPr>
          <w:rFonts w:ascii="David" w:hAnsi="David" w:cs="David" w:hint="cs"/>
          <w:b/>
          <w:bCs/>
          <w:sz w:val="24"/>
          <w:szCs w:val="24"/>
          <w:rtl/>
        </w:rPr>
        <w:t xml:space="preserve">האמור בעבירות בעלות אופי חמור, עבירות המכוונות נגד ביטחון המדינה וביטחון תושביה. </w:t>
      </w:r>
      <w:r>
        <w:rPr>
          <w:rFonts w:ascii="David" w:hAnsi="David" w:cs="David" w:hint="cs"/>
          <w:sz w:val="24"/>
          <w:szCs w:val="24"/>
          <w:rtl/>
        </w:rPr>
        <w:t xml:space="preserve">נמצא, אפוא, כי </w:t>
      </w:r>
      <w:r w:rsidRPr="00D27C7B">
        <w:rPr>
          <w:rFonts w:ascii="David" w:hAnsi="David" w:cs="David" w:hint="cs"/>
          <w:b/>
          <w:bCs/>
          <w:sz w:val="24"/>
          <w:szCs w:val="24"/>
          <w:rtl/>
        </w:rPr>
        <w:t>האינטרס הציבורי הטמון בפרסום הליכים הקשורים באכיפת האיסורים הללו הוא ניכר</w:t>
      </w:r>
      <w:r>
        <w:rPr>
          <w:rFonts w:ascii="David" w:hAnsi="David" w:cs="David" w:hint="cs"/>
          <w:sz w:val="24"/>
          <w:szCs w:val="24"/>
          <w:rtl/>
        </w:rPr>
        <w:t xml:space="preserve">. </w:t>
      </w:r>
      <w:r>
        <w:rPr>
          <w:rFonts w:ascii="David" w:hAnsi="David" w:cs="David" w:hint="cs"/>
          <w:sz w:val="24"/>
          <w:szCs w:val="24"/>
          <w:rtl/>
        </w:rPr>
        <w:lastRenderedPageBreak/>
        <w:t xml:space="preserve">אינטרס זה כולל הן </w:t>
      </w:r>
      <w:r w:rsidRPr="00D27C7B">
        <w:rPr>
          <w:rFonts w:ascii="David" w:hAnsi="David" w:cs="David" w:hint="cs"/>
          <w:b/>
          <w:bCs/>
          <w:sz w:val="24"/>
          <w:szCs w:val="24"/>
          <w:rtl/>
        </w:rPr>
        <w:t>היבטים הרתעתיים</w:t>
      </w:r>
      <w:r>
        <w:rPr>
          <w:rFonts w:ascii="David" w:hAnsi="David" w:cs="David" w:hint="cs"/>
          <w:sz w:val="24"/>
          <w:szCs w:val="24"/>
          <w:rtl/>
        </w:rPr>
        <w:t xml:space="preserve"> (למען יידעו שרשויות האכיפה מטפלות </w:t>
      </w:r>
      <w:proofErr w:type="spellStart"/>
      <w:r>
        <w:rPr>
          <w:rFonts w:ascii="David" w:hAnsi="David" w:cs="David" w:hint="cs"/>
          <w:sz w:val="24"/>
          <w:szCs w:val="24"/>
          <w:rtl/>
        </w:rPr>
        <w:t>בכגון</w:t>
      </w:r>
      <w:proofErr w:type="spellEnd"/>
      <w:r>
        <w:rPr>
          <w:rFonts w:ascii="David" w:hAnsi="David" w:cs="David" w:hint="cs"/>
          <w:sz w:val="24"/>
          <w:szCs w:val="24"/>
          <w:rtl/>
        </w:rPr>
        <w:t xml:space="preserve"> דא וכך יירתעו </w:t>
      </w:r>
      <w:proofErr w:type="spellStart"/>
      <w:r>
        <w:rPr>
          <w:rFonts w:ascii="David" w:hAnsi="David" w:cs="David" w:hint="cs"/>
          <w:sz w:val="24"/>
          <w:szCs w:val="24"/>
          <w:rtl/>
        </w:rPr>
        <w:t>מלבצעם</w:t>
      </w:r>
      <w:proofErr w:type="spellEnd"/>
      <w:r>
        <w:rPr>
          <w:rFonts w:ascii="David" w:hAnsi="David" w:cs="David" w:hint="cs"/>
          <w:sz w:val="24"/>
          <w:szCs w:val="24"/>
          <w:rtl/>
        </w:rPr>
        <w:t xml:space="preserve">) הן </w:t>
      </w:r>
      <w:r w:rsidRPr="00D27C7B">
        <w:rPr>
          <w:rFonts w:ascii="David" w:hAnsi="David" w:cs="David" w:hint="cs"/>
          <w:b/>
          <w:bCs/>
          <w:sz w:val="24"/>
          <w:szCs w:val="24"/>
          <w:rtl/>
        </w:rPr>
        <w:t>מניעתיים</w:t>
      </w:r>
      <w:r>
        <w:rPr>
          <w:rFonts w:ascii="David" w:hAnsi="David" w:cs="David" w:hint="cs"/>
          <w:sz w:val="24"/>
          <w:szCs w:val="24"/>
          <w:rtl/>
        </w:rPr>
        <w:t xml:space="preserve"> (להניא אחרים מלפרסם פרסומים מסוג זה). </w:t>
      </w:r>
      <w:r w:rsidRPr="00D27C7B">
        <w:rPr>
          <w:rFonts w:ascii="David" w:hAnsi="David" w:cs="David" w:hint="cs"/>
          <w:b/>
          <w:bCs/>
          <w:sz w:val="24"/>
          <w:szCs w:val="24"/>
          <w:rtl/>
        </w:rPr>
        <w:t>בתקופה הסוערת בה נתונה המדינה ואזרחיה</w:t>
      </w:r>
      <w:r>
        <w:rPr>
          <w:rFonts w:ascii="David" w:hAnsi="David" w:cs="David" w:hint="cs"/>
          <w:sz w:val="24"/>
          <w:szCs w:val="24"/>
          <w:rtl/>
        </w:rPr>
        <w:t xml:space="preserve">, כאשר הרוחות רוגשות והדם גועש; כאשר ליבו של כל אדם שלו מצפון יוצא אל המשפחות השכולות, משפחות החטופים והפצועים הרבים, </w:t>
      </w:r>
      <w:r w:rsidRPr="00D27C7B">
        <w:rPr>
          <w:rFonts w:ascii="David" w:hAnsi="David" w:cs="David" w:hint="cs"/>
          <w:b/>
          <w:bCs/>
          <w:sz w:val="24"/>
          <w:szCs w:val="24"/>
          <w:rtl/>
        </w:rPr>
        <w:t xml:space="preserve">החשיבות לפרסם את העובדה שרשויות האכיפה מטפלות במעשים שכאלה </w:t>
      </w:r>
      <w:r>
        <w:rPr>
          <w:rFonts w:ascii="David" w:hAnsi="David" w:cs="David" w:hint="cs"/>
          <w:b/>
          <w:bCs/>
          <w:sz w:val="24"/>
          <w:szCs w:val="24"/>
          <w:rtl/>
        </w:rPr>
        <w:t>רבה</w:t>
      </w:r>
      <w:r w:rsidRPr="00D27C7B">
        <w:rPr>
          <w:rFonts w:ascii="David" w:hAnsi="David" w:cs="David" w:hint="cs"/>
          <w:b/>
          <w:bCs/>
          <w:sz w:val="24"/>
          <w:szCs w:val="24"/>
          <w:rtl/>
        </w:rPr>
        <w:t xml:space="preserve"> שבעתיים</w:t>
      </w:r>
      <w:r>
        <w:rPr>
          <w:rFonts w:ascii="David" w:hAnsi="David" w:cs="David" w:hint="cs"/>
          <w:sz w:val="24"/>
          <w:szCs w:val="24"/>
          <w:rtl/>
        </w:rPr>
        <w:t xml:space="preserve">; כאשר מתקיים חשש שמחלוקות עלולות להביא לעימותים אלימים בין חלקים שונים בציבור; או אז </w:t>
      </w:r>
      <w:r w:rsidRPr="00D27C7B">
        <w:rPr>
          <w:rFonts w:ascii="David" w:hAnsi="David" w:cs="David" w:hint="cs"/>
          <w:b/>
          <w:bCs/>
          <w:sz w:val="24"/>
          <w:szCs w:val="24"/>
          <w:rtl/>
        </w:rPr>
        <w:t>הצורך למנוע ליבוי היצרים וקריאות לאלימות מתחדד ומתעצם והופך לעניין קיומי ממש</w:t>
      </w:r>
      <w:r>
        <w:rPr>
          <w:rFonts w:ascii="David" w:hAnsi="David" w:cs="David" w:hint="cs"/>
          <w:sz w:val="24"/>
          <w:szCs w:val="24"/>
          <w:rtl/>
        </w:rPr>
        <w:t xml:space="preserve">. </w:t>
      </w:r>
    </w:p>
    <w:p w:rsidR="003D6131" w:rsidRDefault="003D6131" w:rsidP="003D6131">
      <w:pPr>
        <w:spacing w:after="0" w:line="360" w:lineRule="auto"/>
        <w:jc w:val="both"/>
        <w:rPr>
          <w:rFonts w:ascii="David" w:hAnsi="David" w:cs="David"/>
          <w:sz w:val="24"/>
          <w:szCs w:val="24"/>
          <w:rtl/>
        </w:rPr>
      </w:pPr>
    </w:p>
    <w:p w:rsidR="009B7AFF" w:rsidRPr="00D27C7B" w:rsidRDefault="009B7AFF" w:rsidP="003D6131">
      <w:pPr>
        <w:spacing w:after="0" w:line="360" w:lineRule="auto"/>
        <w:jc w:val="both"/>
        <w:rPr>
          <w:rFonts w:ascii="David" w:hAnsi="David" w:cs="David"/>
          <w:b/>
          <w:bCs/>
          <w:sz w:val="24"/>
          <w:szCs w:val="24"/>
          <w:rtl/>
        </w:rPr>
      </w:pPr>
      <w:r>
        <w:rPr>
          <w:rFonts w:ascii="David" w:hAnsi="David" w:cs="David" w:hint="cs"/>
          <w:sz w:val="24"/>
          <w:szCs w:val="24"/>
          <w:rtl/>
        </w:rPr>
        <w:t xml:space="preserve">יוצא, </w:t>
      </w:r>
      <w:r w:rsidRPr="00D27C7B">
        <w:rPr>
          <w:rFonts w:ascii="David" w:hAnsi="David" w:cs="David" w:hint="cs"/>
          <w:b/>
          <w:bCs/>
          <w:sz w:val="24"/>
          <w:szCs w:val="24"/>
          <w:rtl/>
        </w:rPr>
        <w:t xml:space="preserve">שהעניין הציבורי הכללי בפרסום חקירת חשדות כגון אלו הוא מהותי ומשמעותי. </w:t>
      </w:r>
    </w:p>
    <w:p w:rsidR="009B7AFF" w:rsidRDefault="009B7AFF" w:rsidP="003D6131">
      <w:pPr>
        <w:spacing w:after="0" w:line="360" w:lineRule="auto"/>
        <w:jc w:val="both"/>
        <w:rPr>
          <w:rFonts w:ascii="David" w:hAnsi="David" w:cs="David"/>
          <w:sz w:val="24"/>
          <w:szCs w:val="24"/>
          <w:rtl/>
        </w:rPr>
      </w:pPr>
      <w:r>
        <w:rPr>
          <w:rFonts w:ascii="David" w:hAnsi="David" w:cs="David" w:hint="cs"/>
          <w:sz w:val="24"/>
          <w:szCs w:val="24"/>
          <w:rtl/>
        </w:rPr>
        <w:t xml:space="preserve">עיון בדברי הפרסום מלמד, כפי שקבע שופט הערכאה הראשונה, שמדובר לכאורה בפרסום </w:t>
      </w:r>
      <w:r>
        <w:rPr>
          <w:rFonts w:ascii="David" w:hAnsi="David" w:cs="David"/>
          <w:sz w:val="24"/>
          <w:szCs w:val="24"/>
          <w:rtl/>
        </w:rPr>
        <w:br/>
      </w:r>
      <w:r>
        <w:rPr>
          <w:rFonts w:ascii="David" w:hAnsi="David" w:cs="David" w:hint="cs"/>
          <w:sz w:val="24"/>
          <w:szCs w:val="24"/>
          <w:rtl/>
        </w:rPr>
        <w:t xml:space="preserve">(או פרסומים) בעלי </w:t>
      </w:r>
      <w:r w:rsidRPr="00D27C7B">
        <w:rPr>
          <w:rFonts w:ascii="David" w:hAnsi="David" w:cs="David" w:hint="cs"/>
          <w:b/>
          <w:bCs/>
          <w:sz w:val="24"/>
          <w:szCs w:val="24"/>
          <w:rtl/>
        </w:rPr>
        <w:t>פוטנציאל מסית</w:t>
      </w:r>
      <w:r>
        <w:rPr>
          <w:rFonts w:ascii="David" w:hAnsi="David" w:cs="David" w:hint="cs"/>
          <w:sz w:val="24"/>
          <w:szCs w:val="24"/>
          <w:rtl/>
        </w:rPr>
        <w:t xml:space="preserve">, כאשר הם בגדר </w:t>
      </w:r>
      <w:r w:rsidRPr="00D27C7B">
        <w:rPr>
          <w:rFonts w:ascii="David" w:hAnsi="David" w:cs="David" w:hint="cs"/>
          <w:b/>
          <w:bCs/>
          <w:sz w:val="24"/>
          <w:szCs w:val="24"/>
          <w:rtl/>
        </w:rPr>
        <w:t xml:space="preserve">דברי שבח למעשי </w:t>
      </w:r>
      <w:r w:rsidRPr="00D27C7B">
        <w:rPr>
          <w:rFonts w:ascii="David" w:hAnsi="David" w:cs="David"/>
          <w:b/>
          <w:bCs/>
          <w:sz w:val="24"/>
          <w:szCs w:val="24"/>
          <w:rtl/>
        </w:rPr>
        <w:t>–</w:t>
      </w:r>
      <w:r w:rsidRPr="00D27C7B">
        <w:rPr>
          <w:rFonts w:ascii="David" w:hAnsi="David" w:cs="David" w:hint="cs"/>
          <w:b/>
          <w:bCs/>
          <w:sz w:val="24"/>
          <w:szCs w:val="24"/>
          <w:rtl/>
        </w:rPr>
        <w:t xml:space="preserve"> טרור נפשעים</w:t>
      </w:r>
      <w:r>
        <w:rPr>
          <w:rFonts w:ascii="David" w:hAnsi="David" w:cs="David" w:hint="cs"/>
          <w:b/>
          <w:bCs/>
          <w:sz w:val="24"/>
          <w:szCs w:val="24"/>
          <w:rtl/>
        </w:rPr>
        <w:t>. כינוי מעשים שכאלה במינוח</w:t>
      </w:r>
      <w:r w:rsidRPr="00D27C7B">
        <w:rPr>
          <w:rFonts w:ascii="David" w:hAnsi="David" w:cs="David" w:hint="cs"/>
          <w:b/>
          <w:bCs/>
          <w:sz w:val="24"/>
          <w:szCs w:val="24"/>
          <w:rtl/>
        </w:rPr>
        <w:t xml:space="preserve"> "מכה אלוהית" איננ</w:t>
      </w:r>
      <w:r>
        <w:rPr>
          <w:rFonts w:ascii="David" w:hAnsi="David" w:cs="David" w:hint="cs"/>
          <w:b/>
          <w:bCs/>
          <w:sz w:val="24"/>
          <w:szCs w:val="24"/>
          <w:rtl/>
        </w:rPr>
        <w:t>ו</w:t>
      </w:r>
      <w:r w:rsidRPr="00D27C7B">
        <w:rPr>
          <w:rFonts w:ascii="David" w:hAnsi="David" w:cs="David" w:hint="cs"/>
          <w:b/>
          <w:bCs/>
          <w:sz w:val="24"/>
          <w:szCs w:val="24"/>
          <w:rtl/>
        </w:rPr>
        <w:t xml:space="preserve"> יכולה לטעמי להתפרש אלא כך</w:t>
      </w:r>
      <w:r>
        <w:rPr>
          <w:rFonts w:ascii="David" w:hAnsi="David" w:cs="David" w:hint="cs"/>
          <w:sz w:val="24"/>
          <w:szCs w:val="24"/>
          <w:rtl/>
        </w:rPr>
        <w:t xml:space="preserve">; ויש בהם, באותם דברים </w:t>
      </w:r>
      <w:r w:rsidRPr="00D27C7B">
        <w:rPr>
          <w:rFonts w:ascii="David" w:hAnsi="David" w:cs="David" w:hint="cs"/>
          <w:b/>
          <w:bCs/>
          <w:sz w:val="24"/>
          <w:szCs w:val="24"/>
          <w:rtl/>
        </w:rPr>
        <w:t>תמיכה לכאורית במעשי טרור</w:t>
      </w:r>
      <w:r>
        <w:rPr>
          <w:rFonts w:ascii="David" w:hAnsi="David" w:cs="David" w:hint="cs"/>
          <w:b/>
          <w:bCs/>
          <w:sz w:val="24"/>
          <w:szCs w:val="24"/>
          <w:rtl/>
        </w:rPr>
        <w:t>: לדוגמא קריאה</w:t>
      </w:r>
      <w:r w:rsidRPr="00D27C7B">
        <w:rPr>
          <w:rFonts w:ascii="David" w:hAnsi="David" w:cs="David" w:hint="cs"/>
          <w:b/>
          <w:bCs/>
          <w:sz w:val="24"/>
          <w:szCs w:val="24"/>
          <w:rtl/>
        </w:rPr>
        <w:t xml:space="preserve"> </w:t>
      </w:r>
      <w:r>
        <w:rPr>
          <w:rFonts w:ascii="David" w:hAnsi="David" w:cs="David" w:hint="cs"/>
          <w:b/>
          <w:bCs/>
          <w:sz w:val="24"/>
          <w:szCs w:val="24"/>
          <w:rtl/>
        </w:rPr>
        <w:t>ל</w:t>
      </w:r>
      <w:r w:rsidRPr="00D27C7B">
        <w:rPr>
          <w:rFonts w:ascii="David" w:hAnsi="David" w:cs="David" w:hint="cs"/>
          <w:b/>
          <w:bCs/>
          <w:sz w:val="24"/>
          <w:szCs w:val="24"/>
          <w:rtl/>
        </w:rPr>
        <w:t>"השמדת הכובש"</w:t>
      </w:r>
      <w:r>
        <w:rPr>
          <w:rFonts w:ascii="David" w:hAnsi="David" w:cs="David" w:hint="cs"/>
          <w:sz w:val="24"/>
          <w:szCs w:val="24"/>
          <w:rtl/>
        </w:rPr>
        <w:t xml:space="preserve">. כזכור, טענה ההגנה, שספק אם לאור הסברי החשוד יש לראות במעשיו דברי שבח, עידוד או הסתה ושספק אם יוגש נגדו כתב אישום. אין בידיי היכולת להעריך את הסיכוי להגשת אישום. נציג העוררת טען, כי הסיכויים לכך גבוהים בין השאר בשים לב לכך שניתן אישור הפרקליטות לחקור פרשה זו. </w:t>
      </w:r>
    </w:p>
    <w:p w:rsidR="003D6131" w:rsidRDefault="003D6131" w:rsidP="003D6131">
      <w:pPr>
        <w:spacing w:after="0" w:line="360" w:lineRule="auto"/>
        <w:jc w:val="both"/>
        <w:rPr>
          <w:rFonts w:ascii="David" w:hAnsi="David" w:cs="David"/>
          <w:sz w:val="24"/>
          <w:szCs w:val="24"/>
          <w:rtl/>
        </w:rPr>
      </w:pPr>
    </w:p>
    <w:p w:rsidR="009B7AFF" w:rsidRDefault="009B7AFF" w:rsidP="003D6131">
      <w:pPr>
        <w:spacing w:after="0" w:line="360" w:lineRule="auto"/>
        <w:jc w:val="both"/>
        <w:rPr>
          <w:rFonts w:ascii="David" w:hAnsi="David" w:cs="David"/>
          <w:b/>
          <w:bCs/>
          <w:sz w:val="24"/>
          <w:szCs w:val="24"/>
          <w:rtl/>
        </w:rPr>
      </w:pPr>
      <w:r>
        <w:rPr>
          <w:rFonts w:ascii="David" w:hAnsi="David" w:cs="David" w:hint="cs"/>
          <w:sz w:val="24"/>
          <w:szCs w:val="24"/>
          <w:rtl/>
        </w:rPr>
        <w:t>מכאן, ש</w:t>
      </w:r>
      <w:r w:rsidRPr="00D27C7B">
        <w:rPr>
          <w:rFonts w:ascii="David" w:hAnsi="David" w:cs="David" w:hint="cs"/>
          <w:b/>
          <w:bCs/>
          <w:sz w:val="24"/>
          <w:szCs w:val="24"/>
          <w:rtl/>
        </w:rPr>
        <w:t>הן במישור אופי העבירות הן במישור הקונקרטי של אופי הביטוי, טיבו וטבעו מתקיים אינטרס ציבורי מובהק וחזק לפרסם.</w:t>
      </w:r>
      <w:r>
        <w:rPr>
          <w:rFonts w:ascii="David" w:hAnsi="David" w:cs="David" w:hint="cs"/>
          <w:b/>
          <w:bCs/>
          <w:sz w:val="24"/>
          <w:szCs w:val="24"/>
          <w:rtl/>
        </w:rPr>
        <w:t xml:space="preserve"> </w:t>
      </w:r>
      <w:r>
        <w:rPr>
          <w:rFonts w:ascii="David" w:hAnsi="David" w:cs="David" w:hint="cs"/>
          <w:sz w:val="24"/>
          <w:szCs w:val="24"/>
          <w:rtl/>
        </w:rPr>
        <w:t>אין כאן חשש שמא עניין לנו בטעות עובדתית, שמא לא המשיב עשה את מעשה הפרסום; אין גם  חשש שהפרסום עוות או שונה. טענותיו של המשיב ובאי כוחו נוגעות רק ל</w:t>
      </w:r>
      <w:r w:rsidRPr="00D27C7B">
        <w:rPr>
          <w:rFonts w:ascii="David" w:hAnsi="David" w:cs="David" w:hint="cs"/>
          <w:b/>
          <w:bCs/>
          <w:sz w:val="24"/>
          <w:szCs w:val="24"/>
          <w:rtl/>
        </w:rPr>
        <w:t xml:space="preserve">פרשנות הפרסום </w:t>
      </w:r>
      <w:r w:rsidRPr="00D27C7B">
        <w:rPr>
          <w:rFonts w:ascii="David" w:hAnsi="David" w:cs="David"/>
          <w:b/>
          <w:bCs/>
          <w:sz w:val="24"/>
          <w:szCs w:val="24"/>
          <w:rtl/>
        </w:rPr>
        <w:t>–</w:t>
      </w:r>
      <w:r w:rsidRPr="00D27C7B">
        <w:rPr>
          <w:rFonts w:ascii="David" w:hAnsi="David" w:cs="David" w:hint="cs"/>
          <w:b/>
          <w:bCs/>
          <w:sz w:val="24"/>
          <w:szCs w:val="24"/>
          <w:rtl/>
        </w:rPr>
        <w:t xml:space="preserve"> האם היא בגדר שבח, עידוד או הסתה לטרור שמא אין הוא אלא פרשנות חסרת טעם ובלתי רגישה של המצב בשטח.</w:t>
      </w:r>
      <w:r>
        <w:rPr>
          <w:rFonts w:ascii="David" w:hAnsi="David" w:cs="David" w:hint="cs"/>
          <w:b/>
          <w:bCs/>
          <w:sz w:val="24"/>
          <w:szCs w:val="24"/>
          <w:rtl/>
        </w:rPr>
        <w:t xml:space="preserve"> </w:t>
      </w:r>
      <w:r>
        <w:rPr>
          <w:rFonts w:ascii="David" w:hAnsi="David" w:cs="David" w:hint="cs"/>
          <w:sz w:val="24"/>
          <w:szCs w:val="24"/>
          <w:rtl/>
        </w:rPr>
        <w:t xml:space="preserve">במישור האובייקטיבי, </w:t>
      </w:r>
      <w:r w:rsidRPr="00D27C7B">
        <w:rPr>
          <w:rFonts w:ascii="David" w:hAnsi="David" w:cs="David" w:hint="cs"/>
          <w:b/>
          <w:bCs/>
          <w:sz w:val="24"/>
          <w:szCs w:val="24"/>
          <w:rtl/>
        </w:rPr>
        <w:t xml:space="preserve">קביעת השופט הנכבד קמא ברורה </w:t>
      </w:r>
      <w:r w:rsidRPr="00D27C7B">
        <w:rPr>
          <w:rFonts w:ascii="David" w:hAnsi="David" w:cs="David"/>
          <w:b/>
          <w:bCs/>
          <w:sz w:val="24"/>
          <w:szCs w:val="24"/>
          <w:rtl/>
        </w:rPr>
        <w:t>–</w:t>
      </w:r>
      <w:r w:rsidRPr="00D27C7B">
        <w:rPr>
          <w:rFonts w:ascii="David" w:hAnsi="David" w:cs="David" w:hint="cs"/>
          <w:b/>
          <w:bCs/>
          <w:sz w:val="24"/>
          <w:szCs w:val="24"/>
          <w:rtl/>
        </w:rPr>
        <w:t xml:space="preserve"> עניין לנו בפרסום אסור. בכל הכבוד, כך גם אני סבור.</w:t>
      </w:r>
      <w:r>
        <w:rPr>
          <w:rFonts w:ascii="David" w:hAnsi="David" w:cs="David" w:hint="cs"/>
          <w:b/>
          <w:bCs/>
          <w:sz w:val="24"/>
          <w:szCs w:val="24"/>
          <w:rtl/>
        </w:rPr>
        <w:t xml:space="preserve"> </w:t>
      </w:r>
    </w:p>
    <w:p w:rsidR="003D6131" w:rsidRPr="00D27C7B" w:rsidRDefault="003D6131" w:rsidP="003D6131">
      <w:pPr>
        <w:spacing w:after="0" w:line="360" w:lineRule="auto"/>
        <w:jc w:val="both"/>
        <w:rPr>
          <w:rFonts w:ascii="David" w:hAnsi="David" w:cs="David"/>
          <w:b/>
          <w:bCs/>
          <w:sz w:val="24"/>
          <w:szCs w:val="24"/>
          <w:rtl/>
        </w:rPr>
      </w:pPr>
    </w:p>
    <w:p w:rsidR="009B7AFF" w:rsidRDefault="009B7AFF" w:rsidP="003D6131">
      <w:pPr>
        <w:spacing w:after="0" w:line="360" w:lineRule="auto"/>
        <w:jc w:val="both"/>
        <w:rPr>
          <w:rFonts w:ascii="David" w:hAnsi="David" w:cs="David"/>
          <w:sz w:val="24"/>
          <w:szCs w:val="24"/>
          <w:rtl/>
        </w:rPr>
      </w:pPr>
      <w:r>
        <w:rPr>
          <w:rFonts w:ascii="David" w:hAnsi="David" w:cs="David" w:hint="cs"/>
          <w:sz w:val="24"/>
          <w:szCs w:val="24"/>
          <w:rtl/>
        </w:rPr>
        <w:t xml:space="preserve">באי כוחו של המשיב עמדו על שורה של נזקים, הצפויים להיות מנת </w:t>
      </w:r>
      <w:r>
        <w:rPr>
          <w:rFonts w:ascii="David" w:hAnsi="David" w:cs="David"/>
          <w:sz w:val="24"/>
          <w:szCs w:val="24"/>
          <w:rtl/>
        </w:rPr>
        <w:t>–</w:t>
      </w:r>
      <w:r>
        <w:rPr>
          <w:rFonts w:ascii="David" w:hAnsi="David" w:cs="David" w:hint="cs"/>
          <w:sz w:val="24"/>
          <w:szCs w:val="24"/>
          <w:rtl/>
        </w:rPr>
        <w:t xml:space="preserve"> חלקו ככל ששמו יפורסם. תיפגע פרנסתו (חלק מלקוחותיו יהודים ויסלדו מהבעת דעת תומכות - טרור); ייפגע שמו הטוב ושמו המקצועי (הוא עורך דין ידוע ומוערך המופיע בבתי המשפט השכם והערב); ייפגעו בני משפחתו,  אשר אין כל עוול בכפם פועל יוצא על קשירתם לאקטים של אבי המשפחה אשר הביע שבח, עידוד ואולי אף הסתה לטרור; הוא עצמו ובני משפחתה עלולים להיות יעד לחצים, איומים ואלימות מצד קיצוניים, אשר יסלדו סלידה קשה מהדברים שפורסמו ויבקשו "לנקום" עליהם או להביע דעתם עליהם באורח פוגעני ואולי אף אלים. </w:t>
      </w:r>
    </w:p>
    <w:p w:rsidR="003D6131" w:rsidRDefault="003D6131" w:rsidP="003D6131">
      <w:pPr>
        <w:spacing w:after="0" w:line="360" w:lineRule="auto"/>
        <w:jc w:val="both"/>
        <w:rPr>
          <w:rFonts w:ascii="David" w:hAnsi="David" w:cs="David"/>
          <w:sz w:val="24"/>
          <w:szCs w:val="24"/>
          <w:rtl/>
        </w:rPr>
      </w:pPr>
    </w:p>
    <w:p w:rsidR="009B7AFF" w:rsidRPr="00D27C7B" w:rsidRDefault="009B7AFF" w:rsidP="003D6131">
      <w:pPr>
        <w:spacing w:after="0" w:line="360" w:lineRule="auto"/>
        <w:jc w:val="both"/>
        <w:rPr>
          <w:rFonts w:ascii="David" w:hAnsi="David" w:cs="David"/>
          <w:b/>
          <w:bCs/>
          <w:sz w:val="24"/>
          <w:szCs w:val="24"/>
          <w:rtl/>
        </w:rPr>
      </w:pPr>
      <w:r>
        <w:rPr>
          <w:rFonts w:ascii="David" w:hAnsi="David" w:cs="David" w:hint="cs"/>
          <w:b/>
          <w:bCs/>
          <w:sz w:val="24"/>
          <w:szCs w:val="24"/>
          <w:rtl/>
        </w:rPr>
        <w:t xml:space="preserve">בשולי ההחלטה צוין: </w:t>
      </w:r>
      <w:r w:rsidRPr="00D27C7B">
        <w:rPr>
          <w:rFonts w:ascii="David" w:hAnsi="David" w:cs="David" w:hint="cs"/>
          <w:b/>
          <w:bCs/>
          <w:sz w:val="24"/>
          <w:szCs w:val="24"/>
          <w:rtl/>
        </w:rPr>
        <w:t xml:space="preserve">אין אדם בעל מצפון בישראל שאינו דואב יום - יום ושעה - שעה את הנפגעים הרבים בפעולות </w:t>
      </w:r>
      <w:r w:rsidRPr="00D27C7B">
        <w:rPr>
          <w:rFonts w:ascii="David" w:hAnsi="David" w:cs="David"/>
          <w:b/>
          <w:bCs/>
          <w:sz w:val="24"/>
          <w:szCs w:val="24"/>
          <w:rtl/>
        </w:rPr>
        <w:t>–</w:t>
      </w:r>
      <w:r w:rsidRPr="00D27C7B">
        <w:rPr>
          <w:rFonts w:ascii="David" w:hAnsi="David" w:cs="David" w:hint="cs"/>
          <w:b/>
          <w:bCs/>
          <w:sz w:val="24"/>
          <w:szCs w:val="24"/>
          <w:rtl/>
        </w:rPr>
        <w:t xml:space="preserve"> האימה שביצעו החברים הנפ</w:t>
      </w:r>
      <w:r>
        <w:rPr>
          <w:rFonts w:ascii="David" w:hAnsi="David" w:cs="David" w:hint="cs"/>
          <w:b/>
          <w:bCs/>
          <w:sz w:val="24"/>
          <w:szCs w:val="24"/>
          <w:rtl/>
        </w:rPr>
        <w:t>שעים בארגון הטרור חמאס. זוהי תקו</w:t>
      </w:r>
      <w:r w:rsidRPr="00D27C7B">
        <w:rPr>
          <w:rFonts w:ascii="David" w:hAnsi="David" w:cs="David" w:hint="cs"/>
          <w:b/>
          <w:bCs/>
          <w:sz w:val="24"/>
          <w:szCs w:val="24"/>
          <w:rtl/>
        </w:rPr>
        <w:t xml:space="preserve">פה </w:t>
      </w:r>
      <w:r w:rsidRPr="00D27C7B">
        <w:rPr>
          <w:rFonts w:ascii="David" w:hAnsi="David" w:cs="David" w:hint="cs"/>
          <w:b/>
          <w:bCs/>
          <w:sz w:val="24"/>
          <w:szCs w:val="24"/>
          <w:rtl/>
        </w:rPr>
        <w:lastRenderedPageBreak/>
        <w:t xml:space="preserve">רגישה בחייו של עם ובחייה של אומה. אין היא מתפרקת מערכיה הדמוקרטיים בשל כך. אין היא מקריבה את זכויות האדם והאזרח על מזבח האינטרס הלאומי שלא לצורך. </w:t>
      </w:r>
    </w:p>
    <w:p w:rsidR="003D6131" w:rsidRDefault="003D6131" w:rsidP="003D6131">
      <w:pPr>
        <w:spacing w:after="0" w:line="360" w:lineRule="auto"/>
        <w:jc w:val="both"/>
        <w:rPr>
          <w:rFonts w:ascii="David" w:hAnsi="David" w:cs="David"/>
          <w:sz w:val="24"/>
          <w:szCs w:val="24"/>
          <w:rtl/>
        </w:rPr>
      </w:pPr>
    </w:p>
    <w:p w:rsidR="003D6131" w:rsidRDefault="003D6131" w:rsidP="003D6131">
      <w:pPr>
        <w:spacing w:after="0" w:line="360" w:lineRule="auto"/>
        <w:jc w:val="both"/>
        <w:rPr>
          <w:rFonts w:ascii="David" w:hAnsi="David" w:cs="David"/>
          <w:sz w:val="24"/>
          <w:szCs w:val="24"/>
          <w:rtl/>
        </w:rPr>
      </w:pPr>
    </w:p>
    <w:p w:rsidR="009B7AFF" w:rsidRDefault="009B7AFF" w:rsidP="003D6131">
      <w:pPr>
        <w:spacing w:after="0" w:line="360" w:lineRule="auto"/>
        <w:jc w:val="both"/>
        <w:rPr>
          <w:rFonts w:ascii="David" w:hAnsi="David" w:cs="David"/>
          <w:sz w:val="24"/>
          <w:szCs w:val="24"/>
          <w:rtl/>
        </w:rPr>
      </w:pPr>
      <w:r>
        <w:rPr>
          <w:rFonts w:ascii="David" w:hAnsi="David" w:cs="David" w:hint="cs"/>
          <w:sz w:val="24"/>
          <w:szCs w:val="24"/>
          <w:rtl/>
        </w:rPr>
        <w:t xml:space="preserve">דא עקא, </w:t>
      </w:r>
      <w:r w:rsidRPr="00D27C7B">
        <w:rPr>
          <w:rFonts w:ascii="David" w:hAnsi="David" w:cs="David" w:hint="cs"/>
          <w:b/>
          <w:bCs/>
          <w:sz w:val="24"/>
          <w:szCs w:val="24"/>
          <w:rtl/>
        </w:rPr>
        <w:t xml:space="preserve">שום עם המצוי בעיצומה של לחימה קשה, כאשר סכנה קיומית מרחפת מעל ראשו וחייליו, טובי בנינו הנלחמים יום </w:t>
      </w:r>
      <w:r w:rsidRPr="00D27C7B">
        <w:rPr>
          <w:rFonts w:ascii="David" w:hAnsi="David" w:cs="David"/>
          <w:b/>
          <w:bCs/>
          <w:sz w:val="24"/>
          <w:szCs w:val="24"/>
          <w:rtl/>
        </w:rPr>
        <w:t>–</w:t>
      </w:r>
      <w:r w:rsidRPr="00D27C7B">
        <w:rPr>
          <w:rFonts w:ascii="David" w:hAnsi="David" w:cs="David" w:hint="cs"/>
          <w:b/>
          <w:bCs/>
          <w:sz w:val="24"/>
          <w:szCs w:val="24"/>
          <w:rtl/>
        </w:rPr>
        <w:t xml:space="preserve"> יום ושעה </w:t>
      </w:r>
      <w:r w:rsidRPr="00D27C7B">
        <w:rPr>
          <w:rFonts w:ascii="David" w:hAnsi="David" w:cs="David"/>
          <w:b/>
          <w:bCs/>
          <w:sz w:val="24"/>
          <w:szCs w:val="24"/>
          <w:rtl/>
        </w:rPr>
        <w:t>–</w:t>
      </w:r>
      <w:r w:rsidRPr="00D27C7B">
        <w:rPr>
          <w:rFonts w:ascii="David" w:hAnsi="David" w:cs="David" w:hint="cs"/>
          <w:b/>
          <w:bCs/>
          <w:sz w:val="24"/>
          <w:szCs w:val="24"/>
          <w:rtl/>
        </w:rPr>
        <w:t xml:space="preserve"> שעה מעבר לקווי האויב כדי להשיב לכולנו את הביטחון שהוא כה חשוב למדינתנו, אינו יכול לס</w:t>
      </w:r>
      <w:r>
        <w:rPr>
          <w:rFonts w:ascii="David" w:hAnsi="David" w:cs="David" w:hint="cs"/>
          <w:b/>
          <w:bCs/>
          <w:sz w:val="24"/>
          <w:szCs w:val="24"/>
          <w:rtl/>
        </w:rPr>
        <w:t>ב</w:t>
      </w:r>
      <w:r w:rsidRPr="00D27C7B">
        <w:rPr>
          <w:rFonts w:ascii="David" w:hAnsi="David" w:cs="David" w:hint="cs"/>
          <w:b/>
          <w:bCs/>
          <w:sz w:val="24"/>
          <w:szCs w:val="24"/>
          <w:rtl/>
        </w:rPr>
        <w:t>ול גילויי עידוד שבח או הסתה של האויב בתקופה שכזו</w:t>
      </w:r>
      <w:r>
        <w:rPr>
          <w:rFonts w:ascii="David" w:hAnsi="David" w:cs="David" w:hint="cs"/>
          <w:b/>
          <w:bCs/>
          <w:sz w:val="24"/>
          <w:szCs w:val="24"/>
          <w:rtl/>
        </w:rPr>
        <w:t xml:space="preserve"> ולהבליג</w:t>
      </w:r>
      <w:r w:rsidRPr="00D27C7B">
        <w:rPr>
          <w:rFonts w:ascii="David" w:hAnsi="David" w:cs="David" w:hint="cs"/>
          <w:b/>
          <w:bCs/>
          <w:sz w:val="24"/>
          <w:szCs w:val="24"/>
          <w:rtl/>
        </w:rPr>
        <w:t>.</w:t>
      </w:r>
      <w:r>
        <w:rPr>
          <w:rFonts w:ascii="David" w:hAnsi="David" w:cs="David" w:hint="cs"/>
          <w:sz w:val="24"/>
          <w:szCs w:val="24"/>
          <w:rtl/>
        </w:rPr>
        <w:t xml:space="preserve"> </w:t>
      </w:r>
    </w:p>
    <w:p w:rsidR="009B7AFF" w:rsidRDefault="009B7AFF" w:rsidP="003D6131">
      <w:pPr>
        <w:spacing w:after="0" w:line="360" w:lineRule="auto"/>
        <w:jc w:val="both"/>
        <w:rPr>
          <w:rFonts w:ascii="David" w:hAnsi="David" w:cs="David"/>
          <w:b/>
          <w:bCs/>
          <w:sz w:val="24"/>
          <w:szCs w:val="24"/>
          <w:rtl/>
        </w:rPr>
      </w:pPr>
      <w:r w:rsidRPr="00D27C7B">
        <w:rPr>
          <w:rFonts w:ascii="David" w:hAnsi="David" w:cs="David" w:hint="cs"/>
          <w:b/>
          <w:bCs/>
          <w:sz w:val="24"/>
          <w:szCs w:val="24"/>
          <w:rtl/>
        </w:rPr>
        <w:t xml:space="preserve">שום עם איננו יכול לאפשר ליבוי היצרים והורדת המחסום בפני מלחמות פנימיות, הפגנות אלימות ופגיעה בחיי אדם או במרקם החברתי העדין המרכיב אותו. </w:t>
      </w:r>
    </w:p>
    <w:p w:rsidR="003D6131" w:rsidRPr="00D27C7B" w:rsidRDefault="003D6131" w:rsidP="003D6131">
      <w:pPr>
        <w:spacing w:after="0" w:line="360" w:lineRule="auto"/>
        <w:jc w:val="both"/>
        <w:rPr>
          <w:rFonts w:ascii="David" w:hAnsi="David" w:cs="David"/>
          <w:b/>
          <w:bCs/>
          <w:sz w:val="24"/>
          <w:szCs w:val="24"/>
          <w:rtl/>
        </w:rPr>
      </w:pPr>
    </w:p>
    <w:p w:rsidR="009B7AFF" w:rsidRDefault="009B7AFF" w:rsidP="003D6131">
      <w:pPr>
        <w:spacing w:after="0" w:line="360" w:lineRule="auto"/>
        <w:jc w:val="both"/>
        <w:rPr>
          <w:rFonts w:ascii="David" w:hAnsi="David" w:cs="David"/>
          <w:b/>
          <w:bCs/>
          <w:sz w:val="24"/>
          <w:szCs w:val="24"/>
          <w:rtl/>
        </w:rPr>
      </w:pPr>
      <w:r>
        <w:rPr>
          <w:rFonts w:ascii="David" w:hAnsi="David" w:cs="David" w:hint="cs"/>
          <w:sz w:val="24"/>
          <w:szCs w:val="24"/>
          <w:rtl/>
        </w:rPr>
        <w:t xml:space="preserve">לפיכך, חומרה מיוחדת נודעת למעשי שבח, עידוד או תמיכה בטרור בתקופה זו. חשיבות רבה נועדת לחקירת הדברים ובירורם עד תום. ככל שהמעשים מוכחים חשוב שעושיהם יובאו לדין. </w:t>
      </w:r>
      <w:r w:rsidRPr="00D27C7B">
        <w:rPr>
          <w:rFonts w:ascii="David" w:hAnsi="David" w:cs="David" w:hint="cs"/>
          <w:b/>
          <w:bCs/>
          <w:sz w:val="24"/>
          <w:szCs w:val="24"/>
          <w:rtl/>
        </w:rPr>
        <w:t xml:space="preserve">ההליכים המשפטיים </w:t>
      </w:r>
      <w:proofErr w:type="spellStart"/>
      <w:r w:rsidRPr="00D27C7B">
        <w:rPr>
          <w:rFonts w:ascii="David" w:hAnsi="David" w:cs="David" w:hint="cs"/>
          <w:b/>
          <w:bCs/>
          <w:sz w:val="24"/>
          <w:szCs w:val="24"/>
          <w:rtl/>
        </w:rPr>
        <w:t>בכגון</w:t>
      </w:r>
      <w:proofErr w:type="spellEnd"/>
      <w:r w:rsidRPr="00D27C7B">
        <w:rPr>
          <w:rFonts w:ascii="David" w:hAnsi="David" w:cs="David" w:hint="cs"/>
          <w:b/>
          <w:bCs/>
          <w:sz w:val="24"/>
          <w:szCs w:val="24"/>
          <w:rtl/>
        </w:rPr>
        <w:t xml:space="preserve"> דא חייבים להיות פומביים גם אם יש בכך אי </w:t>
      </w:r>
      <w:r w:rsidRPr="00D27C7B">
        <w:rPr>
          <w:rFonts w:ascii="David" w:hAnsi="David" w:cs="David"/>
          <w:b/>
          <w:bCs/>
          <w:sz w:val="24"/>
          <w:szCs w:val="24"/>
          <w:rtl/>
        </w:rPr>
        <w:t>–</w:t>
      </w:r>
      <w:r w:rsidRPr="00D27C7B">
        <w:rPr>
          <w:rFonts w:ascii="David" w:hAnsi="David" w:cs="David" w:hint="cs"/>
          <w:b/>
          <w:bCs/>
          <w:sz w:val="24"/>
          <w:szCs w:val="24"/>
          <w:rtl/>
        </w:rPr>
        <w:t xml:space="preserve"> נוחות ואולי אף נזק למבצעי המעשים. </w:t>
      </w:r>
    </w:p>
    <w:p w:rsidR="003D6131" w:rsidRPr="00D27C7B" w:rsidRDefault="003D6131" w:rsidP="003D6131">
      <w:pPr>
        <w:spacing w:after="0" w:line="360" w:lineRule="auto"/>
        <w:jc w:val="both"/>
        <w:rPr>
          <w:rFonts w:ascii="David" w:hAnsi="David" w:cs="David"/>
          <w:b/>
          <w:bCs/>
          <w:sz w:val="24"/>
          <w:szCs w:val="24"/>
          <w:rtl/>
        </w:rPr>
      </w:pPr>
    </w:p>
    <w:p w:rsidR="009B7AFF" w:rsidRPr="008610A7" w:rsidRDefault="009B7AFF" w:rsidP="003D6131">
      <w:pPr>
        <w:spacing w:after="0" w:line="360" w:lineRule="auto"/>
        <w:jc w:val="both"/>
        <w:rPr>
          <w:rFonts w:ascii="David" w:hAnsi="David" w:cs="David"/>
          <w:sz w:val="24"/>
          <w:szCs w:val="24"/>
        </w:rPr>
      </w:pPr>
      <w:r>
        <w:rPr>
          <w:rFonts w:ascii="David" w:hAnsi="David" w:cs="David" w:hint="cs"/>
          <w:sz w:val="24"/>
          <w:szCs w:val="24"/>
          <w:rtl/>
        </w:rPr>
        <w:t>התוצאה היא שהערר מתקבל ואיסור פרסום שם המשיב מבוטל.</w:t>
      </w:r>
    </w:p>
    <w:p w:rsidR="00847276" w:rsidRDefault="00847276" w:rsidP="003D6131">
      <w:pPr>
        <w:spacing w:after="0" w:line="360" w:lineRule="auto"/>
        <w:jc w:val="both"/>
        <w:rPr>
          <w:rtl/>
        </w:rPr>
      </w:pPr>
    </w:p>
    <w:p w:rsidR="008E0A37" w:rsidRDefault="008E0A37" w:rsidP="009B7AFF">
      <w:pPr>
        <w:jc w:val="both"/>
        <w:rPr>
          <w:rtl/>
        </w:rPr>
      </w:pPr>
    </w:p>
    <w:p w:rsidR="008E0A37" w:rsidRPr="000071E5" w:rsidRDefault="008E0A37" w:rsidP="008E0A37">
      <w:pPr>
        <w:spacing w:after="120" w:line="360" w:lineRule="auto"/>
        <w:jc w:val="center"/>
        <w:rPr>
          <w:rFonts w:ascii="FrankRuehl" w:hAnsi="FrankRuehl" w:cs="FrankRuehl"/>
          <w:b/>
          <w:bCs/>
          <w:color w:val="002060"/>
          <w:sz w:val="26"/>
          <w:szCs w:val="26"/>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 xml:space="preserve">התקציר אינו בא להחליף את </w:t>
      </w:r>
      <w:r>
        <w:rPr>
          <w:rFonts w:ascii="FrankRuehl" w:hAnsi="FrankRuehl" w:cs="FrankRuehl" w:hint="cs"/>
          <w:b/>
          <w:bCs/>
          <w:color w:val="002060"/>
          <w:sz w:val="26"/>
          <w:szCs w:val="26"/>
          <w:rtl/>
        </w:rPr>
        <w:t>ההחלטה</w:t>
      </w:r>
      <w:r w:rsidRPr="000071E5">
        <w:rPr>
          <w:rFonts w:ascii="FrankRuehl" w:hAnsi="FrankRuehl" w:cs="FrankRuehl"/>
          <w:b/>
          <w:bCs/>
          <w:color w:val="002060"/>
          <w:sz w:val="26"/>
          <w:szCs w:val="26"/>
          <w:rtl/>
        </w:rPr>
        <w:t xml:space="preserve">, הנוסח המחייב הוא זה של </w:t>
      </w:r>
      <w:r>
        <w:rPr>
          <w:rFonts w:ascii="FrankRuehl" w:hAnsi="FrankRuehl" w:cs="FrankRuehl" w:hint="cs"/>
          <w:b/>
          <w:bCs/>
          <w:color w:val="002060"/>
          <w:sz w:val="26"/>
          <w:szCs w:val="26"/>
          <w:rtl/>
        </w:rPr>
        <w:t>ההחלטה</w:t>
      </w:r>
      <w:r w:rsidRPr="000071E5">
        <w:rPr>
          <w:rFonts w:ascii="FrankRuehl" w:hAnsi="FrankRuehl" w:cs="FrankRuehl"/>
          <w:b/>
          <w:bCs/>
          <w:color w:val="002060"/>
          <w:sz w:val="26"/>
          <w:szCs w:val="26"/>
          <w:rtl/>
        </w:rPr>
        <w:t xml:space="preserve"> המלא</w:t>
      </w:r>
      <w:r>
        <w:rPr>
          <w:rFonts w:ascii="FrankRuehl" w:hAnsi="FrankRuehl" w:cs="FrankRuehl" w:hint="cs"/>
          <w:b/>
          <w:bCs/>
          <w:color w:val="002060"/>
          <w:sz w:val="26"/>
          <w:szCs w:val="26"/>
          <w:rtl/>
        </w:rPr>
        <w:t>ה</w:t>
      </w:r>
      <w:r w:rsidRPr="000071E5">
        <w:rPr>
          <w:rFonts w:ascii="FrankRuehl" w:hAnsi="FrankRuehl" w:cs="FrankRuehl" w:hint="cs"/>
          <w:b/>
          <w:bCs/>
          <w:color w:val="002060"/>
          <w:sz w:val="26"/>
          <w:szCs w:val="26"/>
          <w:rtl/>
        </w:rPr>
        <w:t>***</w:t>
      </w:r>
    </w:p>
    <w:p w:rsidR="008E0A37" w:rsidRPr="008E0A37" w:rsidRDefault="008E0A37" w:rsidP="009B7AFF">
      <w:pPr>
        <w:jc w:val="both"/>
      </w:pPr>
    </w:p>
    <w:sectPr w:rsidR="008E0A37" w:rsidRPr="008E0A37" w:rsidSect="003D6131">
      <w:head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0A37" w:rsidRDefault="008E0A37" w:rsidP="008E0A37">
      <w:pPr>
        <w:spacing w:after="0" w:line="240" w:lineRule="auto"/>
      </w:pPr>
      <w:r>
        <w:separator/>
      </w:r>
    </w:p>
  </w:endnote>
  <w:endnote w:type="continuationSeparator" w:id="0">
    <w:p w:rsidR="008E0A37" w:rsidRDefault="008E0A37" w:rsidP="008E0A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0A37" w:rsidRDefault="008E0A37" w:rsidP="008E0A37">
      <w:pPr>
        <w:spacing w:after="0" w:line="240" w:lineRule="auto"/>
      </w:pPr>
      <w:r>
        <w:separator/>
      </w:r>
    </w:p>
  </w:footnote>
  <w:footnote w:type="continuationSeparator" w:id="0">
    <w:p w:rsidR="008E0A37" w:rsidRDefault="008E0A37" w:rsidP="008E0A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A37" w:rsidRPr="005253B2" w:rsidRDefault="008E0A37" w:rsidP="008E0A37">
    <w:pPr>
      <w:tabs>
        <w:tab w:val="center" w:pos="4153"/>
        <w:tab w:val="right" w:pos="8306"/>
      </w:tabs>
      <w:overflowPunct w:val="0"/>
      <w:autoSpaceDE w:val="0"/>
      <w:autoSpaceDN w:val="0"/>
      <w:adjustRightInd w:val="0"/>
      <w:jc w:val="center"/>
      <w:rPr>
        <w:sz w:val="20"/>
        <w:lang w:eastAsia="he-IL"/>
      </w:rPr>
    </w:pPr>
    <w:r w:rsidRPr="005253B2">
      <w:rPr>
        <w:noProof/>
        <w:sz w:val="20"/>
      </w:rPr>
      <w:drawing>
        <wp:inline distT="0" distB="0" distL="0" distR="0" wp14:anchorId="291A7A4D" wp14:editId="77D2AAA6">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hAnsi="Century" w:cs="FrankRuehl" w:hint="cs"/>
        <w:noProof/>
        <w:spacing w:val="10"/>
        <w:sz w:val="20"/>
        <w:szCs w:val="28"/>
        <w:rtl/>
        <w:lang w:eastAsia="he-IL"/>
      </w:rPr>
      <w:t xml:space="preserve">                                            </w:t>
    </w:r>
  </w:p>
  <w:p w:rsidR="008E0A37" w:rsidRPr="005253B2" w:rsidRDefault="008E0A37" w:rsidP="008E0A37">
    <w:pPr>
      <w:tabs>
        <w:tab w:val="center" w:pos="4153"/>
        <w:tab w:val="right" w:pos="8306"/>
      </w:tabs>
      <w:overflowPunct w:val="0"/>
      <w:autoSpaceDE w:val="0"/>
      <w:autoSpaceDN w:val="0"/>
      <w:adjustRightInd w:val="0"/>
      <w:jc w:val="center"/>
      <w:rPr>
        <w:rFonts w:cs="FrankRuehl"/>
        <w:b/>
        <w:bCs/>
        <w:color w:val="000080"/>
        <w:spacing w:val="6"/>
        <w:sz w:val="28"/>
        <w:szCs w:val="28"/>
        <w:rtl/>
        <w:lang w:eastAsia="he-IL"/>
      </w:rPr>
    </w:pPr>
    <w:r w:rsidRPr="005253B2">
      <w:rPr>
        <w:rFonts w:cs="FrankRuehl" w:hint="cs"/>
        <w:b/>
        <w:bCs/>
        <w:color w:val="000080"/>
        <w:spacing w:val="6"/>
        <w:sz w:val="28"/>
        <w:szCs w:val="28"/>
        <w:rtl/>
        <w:lang w:eastAsia="he-IL"/>
      </w:rPr>
      <w:t>מערכת בתי המשפט</w:t>
    </w:r>
  </w:p>
  <w:p w:rsidR="008E0A37" w:rsidRDefault="008E0A37" w:rsidP="008E0A37">
    <w:pPr>
      <w:tabs>
        <w:tab w:val="center" w:pos="4153"/>
        <w:tab w:val="right" w:pos="8306"/>
      </w:tabs>
      <w:overflowPunct w:val="0"/>
      <w:autoSpaceDE w:val="0"/>
      <w:autoSpaceDN w:val="0"/>
      <w:adjustRightInd w:val="0"/>
      <w:jc w:val="center"/>
      <w:rPr>
        <w:rtl/>
        <w:cs/>
      </w:rPr>
    </w:pPr>
    <w:r w:rsidRPr="005253B2">
      <w:rPr>
        <w:rFonts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766A62"/>
    <w:multiLevelType w:val="hybridMultilevel"/>
    <w:tmpl w:val="8A7C361A"/>
    <w:lvl w:ilvl="0" w:tplc="80CA584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AFF"/>
    <w:rsid w:val="003D6131"/>
    <w:rsid w:val="00847276"/>
    <w:rsid w:val="008E0A37"/>
    <w:rsid w:val="008F3E23"/>
    <w:rsid w:val="009B7AFF"/>
    <w:rsid w:val="00BB399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6181A"/>
  <w15:chartTrackingRefBased/>
  <w15:docId w15:val="{0D752827-9007-4C49-A8B2-17006D118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7AFF"/>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7AFF"/>
    <w:pPr>
      <w:ind w:left="720"/>
      <w:contextualSpacing/>
    </w:pPr>
  </w:style>
  <w:style w:type="paragraph" w:styleId="a4">
    <w:name w:val="header"/>
    <w:basedOn w:val="a"/>
    <w:link w:val="a5"/>
    <w:uiPriority w:val="99"/>
    <w:unhideWhenUsed/>
    <w:rsid w:val="008E0A37"/>
    <w:pPr>
      <w:tabs>
        <w:tab w:val="center" w:pos="4153"/>
        <w:tab w:val="right" w:pos="8306"/>
      </w:tabs>
      <w:spacing w:after="0" w:line="240" w:lineRule="auto"/>
    </w:pPr>
  </w:style>
  <w:style w:type="character" w:customStyle="1" w:styleId="a5">
    <w:name w:val="כותרת עליונה תו"/>
    <w:basedOn w:val="a0"/>
    <w:link w:val="a4"/>
    <w:uiPriority w:val="99"/>
    <w:rsid w:val="008E0A37"/>
  </w:style>
  <w:style w:type="paragraph" w:styleId="a6">
    <w:name w:val="footer"/>
    <w:basedOn w:val="a"/>
    <w:link w:val="a7"/>
    <w:uiPriority w:val="99"/>
    <w:unhideWhenUsed/>
    <w:rsid w:val="008E0A37"/>
    <w:pPr>
      <w:tabs>
        <w:tab w:val="center" w:pos="4153"/>
        <w:tab w:val="right" w:pos="8306"/>
      </w:tabs>
      <w:spacing w:after="0" w:line="240" w:lineRule="auto"/>
    </w:pPr>
  </w:style>
  <w:style w:type="character" w:customStyle="1" w:styleId="a7">
    <w:name w:val="כותרת תחתונה תו"/>
    <w:basedOn w:val="a0"/>
    <w:link w:val="a6"/>
    <w:uiPriority w:val="99"/>
    <w:rsid w:val="008E0A37"/>
  </w:style>
  <w:style w:type="paragraph" w:styleId="a8">
    <w:name w:val="Balloon Text"/>
    <w:basedOn w:val="a"/>
    <w:link w:val="a9"/>
    <w:uiPriority w:val="99"/>
    <w:semiHidden/>
    <w:unhideWhenUsed/>
    <w:rsid w:val="008E0A37"/>
    <w:pPr>
      <w:spacing w:after="0" w:line="240" w:lineRule="auto"/>
    </w:pPr>
    <w:rPr>
      <w:rFonts w:ascii="Tahoma" w:hAnsi="Tahoma" w:cs="Tahoma"/>
      <w:sz w:val="18"/>
      <w:szCs w:val="18"/>
    </w:rPr>
  </w:style>
  <w:style w:type="character" w:customStyle="1" w:styleId="a9">
    <w:name w:val="טקסט בלונים תו"/>
    <w:basedOn w:val="a0"/>
    <w:link w:val="a8"/>
    <w:uiPriority w:val="99"/>
    <w:semiHidden/>
    <w:rsid w:val="008E0A37"/>
    <w:rPr>
      <w:rFonts w:ascii="Tahoma"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920</Words>
  <Characters>4603</Characters>
  <Application>Microsoft Office Word</Application>
  <DocSecurity>0</DocSecurity>
  <Lines>38</Lines>
  <Paragraphs>11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אבי לוי</dc:creator>
  <cp:keywords/>
  <dc:description/>
  <cp:lastModifiedBy>רותם כהן</cp:lastModifiedBy>
  <cp:revision>3</cp:revision>
  <dcterms:created xsi:type="dcterms:W3CDTF">2023-11-08T11:44:00Z</dcterms:created>
  <dcterms:modified xsi:type="dcterms:W3CDTF">2023-11-08T11:58:00Z</dcterms:modified>
</cp:coreProperties>
</file>